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947" w:rsidRPr="00DA6047" w:rsidRDefault="001D6A9B" w:rsidP="001D6A9B">
      <w:pPr>
        <w:pStyle w:val="Ttulo1"/>
        <w:rPr>
          <w:lang w:val="es-ES"/>
        </w:rPr>
      </w:pPr>
      <w:r>
        <w:rPr>
          <w:lang w:val="es-ES"/>
        </w:rPr>
        <w:t xml:space="preserve">Manual de usuario: </w:t>
      </w:r>
      <w:proofErr w:type="spellStart"/>
      <w:r>
        <w:rPr>
          <w:lang w:val="es-ES"/>
        </w:rPr>
        <w:t>Ikerbide</w:t>
      </w:r>
      <w:proofErr w:type="spellEnd"/>
      <w:r>
        <w:rPr>
          <w:lang w:val="es-ES"/>
        </w:rPr>
        <w:t xml:space="preserve">- Series de datos </w:t>
      </w:r>
      <w:proofErr w:type="gramStart"/>
      <w:r>
        <w:rPr>
          <w:lang w:val="es-ES"/>
        </w:rPr>
        <w:t>estructurales</w:t>
      </w:r>
      <w:r w:rsidR="00F43792">
        <w:rPr>
          <w:lang w:val="es-ES"/>
        </w:rPr>
        <w:t>(</w:t>
      </w:r>
      <w:proofErr w:type="gramEnd"/>
      <w:r w:rsidR="00F43792">
        <w:rPr>
          <w:lang w:val="es-ES"/>
        </w:rPr>
        <w:t>y26a)</w:t>
      </w:r>
      <w:bookmarkStart w:id="0" w:name="_GoBack"/>
      <w:bookmarkEnd w:id="0"/>
    </w:p>
    <w:p w:rsidR="00FC1947" w:rsidRPr="001D6A9B" w:rsidRDefault="001D6A9B">
      <w:pPr>
        <w:rPr>
          <w:lang w:val="es-ES"/>
        </w:rPr>
      </w:pPr>
      <w:r w:rsidRPr="001D6A9B">
        <w:rPr>
          <w:lang w:val="es-ES"/>
        </w:rPr>
        <w:t>Esta aplicación es una r</w:t>
      </w:r>
      <w:r w:rsidR="00DA6047" w:rsidRPr="001D6A9B">
        <w:rPr>
          <w:lang w:val="es-ES"/>
        </w:rPr>
        <w:t>ecopilación de una amplia selección de los datos estructurales que caracterizan la economía vasca. Permite la elaboración de tablas con las variables más relevantes y la comparación con otras economías para facilitar el análisis económico</w:t>
      </w:r>
      <w:r>
        <w:rPr>
          <w:lang w:val="es-ES"/>
        </w:rPr>
        <w:t>.</w:t>
      </w:r>
    </w:p>
    <w:p w:rsidR="00EE4796" w:rsidRPr="001D6A9B" w:rsidRDefault="00EE4796" w:rsidP="00C90343">
      <w:pPr>
        <w:pStyle w:val="Ttulo2"/>
        <w:rPr>
          <w:lang w:val="es-ES"/>
        </w:rPr>
      </w:pPr>
      <w:r w:rsidRPr="001D6A9B">
        <w:rPr>
          <w:lang w:val="es-ES"/>
        </w:rPr>
        <w:t>Pantalla principal</w:t>
      </w:r>
      <w:r w:rsidR="00FC1947" w:rsidRPr="001D6A9B">
        <w:rPr>
          <w:lang w:val="es-ES"/>
        </w:rPr>
        <w:t>:</w:t>
      </w:r>
    </w:p>
    <w:p w:rsidR="00EE4796" w:rsidRPr="00EE4796" w:rsidRDefault="00EE4796" w:rsidP="00EE4796">
      <w:pPr>
        <w:rPr>
          <w:lang w:val="es-ES_tradnl"/>
        </w:rPr>
      </w:pPr>
      <w:r w:rsidRPr="00EE4796">
        <w:rPr>
          <w:lang w:val="es-ES_tradnl"/>
        </w:rPr>
        <w:t>Esta aplicaci</w:t>
      </w:r>
      <w:r>
        <w:rPr>
          <w:lang w:val="es-ES_tradnl"/>
        </w:rPr>
        <w:t xml:space="preserve">ón web está dividida en dos secciones; </w:t>
      </w:r>
      <w:r w:rsidR="00DA6047">
        <w:rPr>
          <w:lang w:val="es-ES_tradnl"/>
        </w:rPr>
        <w:t>arriba</w:t>
      </w:r>
      <w:r>
        <w:rPr>
          <w:lang w:val="es-ES_tradnl"/>
        </w:rPr>
        <w:t xml:space="preserve"> están las acciones de la aplicación en un </w:t>
      </w:r>
      <w:r w:rsidR="00DA6047">
        <w:rPr>
          <w:lang w:val="es-ES_tradnl"/>
        </w:rPr>
        <w:t xml:space="preserve">menú, y abajo </w:t>
      </w:r>
      <w:r>
        <w:rPr>
          <w:lang w:val="es-ES_tradnl"/>
        </w:rPr>
        <w:t>los formularios necesarios para realizar cada acción.</w:t>
      </w:r>
    </w:p>
    <w:p w:rsidR="00FC1947" w:rsidRDefault="001D6A9B">
      <w:r>
        <w:rPr>
          <w:noProof/>
          <w:lang w:val="es-ES" w:eastAsia="es-ES"/>
        </w:rPr>
        <w:drawing>
          <wp:inline distT="0" distB="0" distL="0" distR="0">
            <wp:extent cx="5610225" cy="3257550"/>
            <wp:effectExtent l="0" t="0" r="9525" b="0"/>
            <wp:docPr id="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947" w:rsidRPr="00EE4796" w:rsidRDefault="00FC1947">
      <w:pPr>
        <w:rPr>
          <w:lang w:val="es-ES_tradnl"/>
        </w:rPr>
      </w:pPr>
    </w:p>
    <w:p w:rsidR="00FC1947" w:rsidRDefault="00EE4796">
      <w:r w:rsidRPr="00EE4796">
        <w:rPr>
          <w:lang w:val="es-ES_tradnl"/>
        </w:rPr>
        <w:t>Por ahora la apl</w:t>
      </w:r>
      <w:r w:rsidR="00DA6047">
        <w:rPr>
          <w:lang w:val="es-ES_tradnl"/>
        </w:rPr>
        <w:t>icación dispone de dos opciones:</w:t>
      </w:r>
      <w:r w:rsidRPr="00EE4796">
        <w:rPr>
          <w:lang w:val="es-ES_tradnl"/>
        </w:rPr>
        <w:t xml:space="preserve"> descargar series y descargas por ámbito territorial.</w:t>
      </w:r>
      <w:r w:rsidR="00DA6047">
        <w:rPr>
          <w:lang w:val="es-ES_tradnl"/>
        </w:rPr>
        <w:t xml:space="preserve"> </w:t>
      </w:r>
    </w:p>
    <w:p w:rsidR="00FC1947" w:rsidRPr="00EE4796" w:rsidRDefault="00EE4796" w:rsidP="006A6BED">
      <w:pPr>
        <w:pStyle w:val="Ttulo3"/>
        <w:rPr>
          <w:lang w:val="es-ES_tradnl"/>
        </w:rPr>
      </w:pPr>
      <w:r w:rsidRPr="00EE4796">
        <w:rPr>
          <w:lang w:val="es-ES_tradnl"/>
        </w:rPr>
        <w:lastRenderedPageBreak/>
        <w:t>Descargar series</w:t>
      </w:r>
      <w:r w:rsidR="00FC1947" w:rsidRPr="00EE4796">
        <w:rPr>
          <w:lang w:val="es-ES_tradnl"/>
        </w:rPr>
        <w:t>:</w:t>
      </w:r>
    </w:p>
    <w:p w:rsidR="00B97E48" w:rsidRDefault="00DA6047" w:rsidP="00DA6047">
      <w:pPr>
        <w:rPr>
          <w:lang w:val="es-ES_tradnl"/>
        </w:rPr>
      </w:pPr>
      <w:r>
        <w:rPr>
          <w:lang w:val="es-ES_tradnl"/>
        </w:rPr>
        <w:t>Para descargar series, hay que acceder en el menú superior</w:t>
      </w:r>
      <w:r w:rsidR="00EE4796">
        <w:rPr>
          <w:lang w:val="es-ES_tradnl"/>
        </w:rPr>
        <w:t xml:space="preserve"> la opción </w:t>
      </w:r>
      <w:r>
        <w:rPr>
          <w:lang w:val="es-ES_tradnl"/>
        </w:rPr>
        <w:t>“Acciones disponibles”</w:t>
      </w:r>
      <w:r w:rsidRPr="00DA6047">
        <w:rPr>
          <w:lang w:val="es-ES_tradnl"/>
        </w:rPr>
        <w:sym w:font="Wingdings" w:char="F0E0"/>
      </w:r>
      <w:r w:rsidR="00EE4796">
        <w:rPr>
          <w:lang w:val="es-ES_tradnl"/>
        </w:rPr>
        <w:t>“Descargar series”</w:t>
      </w:r>
      <w:r w:rsidR="00FC1947" w:rsidRPr="00EE4796">
        <w:rPr>
          <w:lang w:val="es-ES_tradnl"/>
        </w:rPr>
        <w:t>.</w:t>
      </w:r>
      <w:r>
        <w:rPr>
          <w:lang w:val="es-ES_tradnl"/>
        </w:rPr>
        <w:t xml:space="preserve"> Una vez hecho esto, hay que seleccionar las series de datos que se quieran visualizar, y después la forma en que se visualizarán los datos.</w:t>
      </w:r>
    </w:p>
    <w:p w:rsidR="00B97E48" w:rsidRPr="0074580C" w:rsidRDefault="00B97E48" w:rsidP="00DA6047">
      <w:pPr>
        <w:rPr>
          <w:b/>
          <w:u w:val="single"/>
          <w:lang w:val="es-ES_tradnl"/>
        </w:rPr>
      </w:pPr>
      <w:r w:rsidRPr="0074580C">
        <w:rPr>
          <w:b/>
          <w:u w:val="single"/>
          <w:lang w:val="es-ES_tradnl"/>
        </w:rPr>
        <w:t>Paso 1: Seleccionar series</w:t>
      </w:r>
    </w:p>
    <w:p w:rsidR="00B97E48" w:rsidRDefault="00B97E48" w:rsidP="00B97E48">
      <w:pPr>
        <w:rPr>
          <w:lang w:val="es-ES_tradnl"/>
        </w:rPr>
      </w:pPr>
      <w:r>
        <w:rPr>
          <w:lang w:val="es-ES_tradnl"/>
        </w:rPr>
        <w:t>En la parte de debajo de la pantalla aparece un menú en árbol en el cual están almacenadas todas las series. Esta</w:t>
      </w:r>
      <w:r w:rsidR="00EE4796">
        <w:rPr>
          <w:lang w:val="es-ES_tradnl"/>
        </w:rPr>
        <w:t xml:space="preserve"> lista de series se abre y expande en cuanto el usuario hace clic sobre un elemento, hasta que se muestran las unidades disponibles para una serie. Si algún elemento tien</w:t>
      </w:r>
      <w:r w:rsidR="00D1417D">
        <w:rPr>
          <w:lang w:val="es-ES_tradnl"/>
        </w:rPr>
        <w:t>e</w:t>
      </w:r>
      <w:r w:rsidR="00EE4796">
        <w:rPr>
          <w:lang w:val="es-ES_tradnl"/>
        </w:rPr>
        <w:t xml:space="preserve"> subelementos, se muestra mediante una flecha situada al lado del nombre</w:t>
      </w:r>
      <w:r>
        <w:rPr>
          <w:lang w:val="es-ES_tradnl"/>
        </w:rPr>
        <w:t>:</w:t>
      </w:r>
    </w:p>
    <w:p w:rsidR="00DA6047" w:rsidRPr="00EE4796" w:rsidRDefault="001D6A9B" w:rsidP="00B97E48">
      <w:pPr>
        <w:jc w:val="center"/>
        <w:rPr>
          <w:lang w:val="es-ES_tradnl"/>
        </w:rPr>
      </w:pPr>
      <w:r>
        <w:rPr>
          <w:noProof/>
          <w:lang w:val="es-ES" w:eastAsia="es-ES"/>
        </w:rPr>
        <w:drawing>
          <wp:inline distT="0" distB="0" distL="0" distR="0">
            <wp:extent cx="2371725" cy="1047750"/>
            <wp:effectExtent l="19050" t="19050" r="28575" b="19050"/>
            <wp:docPr id="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0477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051A5" w:rsidRDefault="00B97E48" w:rsidP="00B97E48">
      <w:pPr>
        <w:rPr>
          <w:lang w:val="es-ES_tradnl"/>
        </w:rPr>
      </w:pPr>
      <w:r>
        <w:rPr>
          <w:lang w:val="es-ES_tradnl"/>
        </w:rPr>
        <w:t>Para seleccionar elementos, simplemente se expande el árbol hasta llegar a las unidades: estas  tienen un cuadro de selección delante del nombre. Se pueden seleccionar todas las series que se quieran.</w:t>
      </w:r>
    </w:p>
    <w:p w:rsidR="00DA6047" w:rsidRPr="00EE4796" w:rsidRDefault="001D6A9B" w:rsidP="00B97E48">
      <w:pPr>
        <w:jc w:val="center"/>
        <w:rPr>
          <w:lang w:val="es-ES_tradnl"/>
        </w:rPr>
      </w:pPr>
      <w:r>
        <w:rPr>
          <w:noProof/>
          <w:lang w:val="es-ES" w:eastAsia="es-ES"/>
        </w:rPr>
        <w:drawing>
          <wp:inline distT="0" distB="0" distL="0" distR="0">
            <wp:extent cx="5114925" cy="2019300"/>
            <wp:effectExtent l="19050" t="19050" r="28575" b="19050"/>
            <wp:docPr id="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20193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A6047" w:rsidRDefault="00DA6047" w:rsidP="00B97E48">
      <w:pPr>
        <w:rPr>
          <w:lang w:val="es-ES_tradnl"/>
        </w:rPr>
      </w:pPr>
      <w:r>
        <w:rPr>
          <w:lang w:val="es-ES_tradnl"/>
        </w:rPr>
        <w:t xml:space="preserve">Al lado de cada </w:t>
      </w:r>
      <w:r w:rsidR="00B97E48">
        <w:rPr>
          <w:lang w:val="es-ES_tradnl"/>
        </w:rPr>
        <w:t>Unidad</w:t>
      </w:r>
      <w:r>
        <w:rPr>
          <w:lang w:val="es-ES_tradnl"/>
        </w:rPr>
        <w:t>, aparecen 3 opciones</w:t>
      </w:r>
    </w:p>
    <w:p w:rsidR="00DA6047" w:rsidRDefault="00DA6047" w:rsidP="00B97E48">
      <w:pPr>
        <w:numPr>
          <w:ilvl w:val="0"/>
          <w:numId w:val="3"/>
        </w:numPr>
        <w:rPr>
          <w:lang w:val="es-ES_tradnl"/>
        </w:rPr>
      </w:pPr>
      <w:r>
        <w:rPr>
          <w:lang w:val="es-ES_tradnl"/>
        </w:rPr>
        <w:t>I: nos muestra una ventana con información correspondiente al origen</w:t>
      </w:r>
    </w:p>
    <w:p w:rsidR="00DA6047" w:rsidRPr="00DA6047" w:rsidRDefault="001D6A9B" w:rsidP="00B97E48">
      <w:pPr>
        <w:jc w:val="center"/>
        <w:rPr>
          <w:lang w:val="es-ES_tradnl"/>
        </w:rPr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3076575" cy="1914525"/>
            <wp:effectExtent l="19050" t="19050" r="28575" b="28575"/>
            <wp:docPr id="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9145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A6047" w:rsidRDefault="00DA6047" w:rsidP="00B97E48">
      <w:pPr>
        <w:ind w:left="1068"/>
        <w:rPr>
          <w:lang w:val="es-ES_tradnl"/>
        </w:rPr>
      </w:pPr>
    </w:p>
    <w:p w:rsidR="00DA6047" w:rsidRDefault="00DA6047" w:rsidP="00B97E48">
      <w:pPr>
        <w:numPr>
          <w:ilvl w:val="0"/>
          <w:numId w:val="3"/>
        </w:numPr>
        <w:rPr>
          <w:lang w:val="es-ES_tradnl"/>
        </w:rPr>
      </w:pPr>
      <w:r>
        <w:rPr>
          <w:lang w:val="es-ES_tradnl"/>
        </w:rPr>
        <w:t xml:space="preserve">PX: descargar la unidad en formato </w:t>
      </w:r>
      <w:r w:rsidR="0074580C" w:rsidRPr="00D1417D">
        <w:rPr>
          <w:lang w:val="es-ES_tradnl"/>
        </w:rPr>
        <w:t>PC-AXIS.</w:t>
      </w:r>
    </w:p>
    <w:p w:rsidR="00DA6047" w:rsidRDefault="00DA6047" w:rsidP="00B97E48">
      <w:pPr>
        <w:numPr>
          <w:ilvl w:val="0"/>
          <w:numId w:val="3"/>
        </w:numPr>
        <w:rPr>
          <w:lang w:val="es-ES_tradnl"/>
        </w:rPr>
      </w:pPr>
      <w:r>
        <w:rPr>
          <w:lang w:val="es-ES_tradnl"/>
        </w:rPr>
        <w:t xml:space="preserve">Excel: descargar la unidad en formato </w:t>
      </w:r>
      <w:proofErr w:type="spellStart"/>
      <w:r>
        <w:rPr>
          <w:lang w:val="es-ES_tradnl"/>
        </w:rPr>
        <w:t>excel</w:t>
      </w:r>
      <w:proofErr w:type="spellEnd"/>
      <w:r>
        <w:rPr>
          <w:lang w:val="es-ES_tradnl"/>
        </w:rPr>
        <w:t>.</w:t>
      </w:r>
    </w:p>
    <w:p w:rsidR="00B97E48" w:rsidRDefault="00B97E48" w:rsidP="00B97E48">
      <w:pPr>
        <w:rPr>
          <w:lang w:val="es-ES_tradnl"/>
        </w:rPr>
      </w:pPr>
      <w:r>
        <w:rPr>
          <w:lang w:val="es-ES_tradnl"/>
        </w:rPr>
        <w:t>Si se conocen de antemano los nombres de las series, se puede utilizar el buscador de series para filtrar el árbol de selección y hacerlo más pequeño.</w:t>
      </w:r>
    </w:p>
    <w:p w:rsidR="00B97E48" w:rsidRDefault="001D6A9B" w:rsidP="00B97E48">
      <w:pPr>
        <w:rPr>
          <w:lang w:val="es-ES_tradnl"/>
        </w:rPr>
      </w:pPr>
      <w:r>
        <w:rPr>
          <w:noProof/>
          <w:lang w:val="es-ES" w:eastAsia="es-ES"/>
        </w:rPr>
        <w:drawing>
          <wp:inline distT="0" distB="0" distL="0" distR="0">
            <wp:extent cx="5610225" cy="400050"/>
            <wp:effectExtent l="0" t="0" r="9525" b="0"/>
            <wp:docPr id="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E48" w:rsidRDefault="0074580C" w:rsidP="00B97E48">
      <w:pPr>
        <w:rPr>
          <w:b/>
          <w:u w:val="single"/>
          <w:lang w:val="es-ES_tradnl"/>
        </w:rPr>
      </w:pPr>
      <w:r w:rsidRPr="0074580C">
        <w:rPr>
          <w:b/>
          <w:u w:val="single"/>
          <w:lang w:val="es-ES_tradnl"/>
        </w:rPr>
        <w:t>Paso 2: Filtrar la selección</w:t>
      </w:r>
    </w:p>
    <w:p w:rsidR="0074580C" w:rsidRDefault="0074580C" w:rsidP="00B97E48">
      <w:pPr>
        <w:rPr>
          <w:lang w:val="es-ES_tradnl"/>
        </w:rPr>
      </w:pPr>
      <w:r>
        <w:rPr>
          <w:lang w:val="es-ES_tradnl"/>
        </w:rPr>
        <w:t>Al hacer clic sobre la pestaña de “Filtro de selección”, se muestran todos los periodos y ámbitos territoriales disponibles para la selección de series hecha anteriormente:</w:t>
      </w:r>
    </w:p>
    <w:p w:rsidR="0074580C" w:rsidRPr="0074580C" w:rsidRDefault="001D6A9B" w:rsidP="00B97E48">
      <w:pPr>
        <w:rPr>
          <w:lang w:val="es-ES_tradnl"/>
        </w:rPr>
      </w:pPr>
      <w:r>
        <w:rPr>
          <w:noProof/>
          <w:lang w:val="es-ES" w:eastAsia="es-ES"/>
        </w:rPr>
        <w:drawing>
          <wp:inline distT="0" distB="0" distL="0" distR="0">
            <wp:extent cx="5610225" cy="2105025"/>
            <wp:effectExtent l="19050" t="19050" r="28575" b="28575"/>
            <wp:docPr id="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1050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051A5" w:rsidRDefault="00EE4796" w:rsidP="0074580C">
      <w:pPr>
        <w:rPr>
          <w:lang w:val="es-ES_tradnl"/>
        </w:rPr>
      </w:pPr>
      <w:r>
        <w:rPr>
          <w:lang w:val="es-ES_tradnl"/>
        </w:rPr>
        <w:t>Hay que seleccionar los años y entidades territoriales</w:t>
      </w:r>
      <w:r w:rsidR="0074580C">
        <w:rPr>
          <w:lang w:val="es-ES_tradnl"/>
        </w:rPr>
        <w:t xml:space="preserve"> deseadas</w:t>
      </w:r>
      <w:r>
        <w:rPr>
          <w:lang w:val="es-ES_tradnl"/>
        </w:rPr>
        <w:t xml:space="preserve"> de sus correspondientes listas. Encima de c</w:t>
      </w:r>
      <w:r w:rsidR="0074580C">
        <w:rPr>
          <w:lang w:val="es-ES_tradnl"/>
        </w:rPr>
        <w:t xml:space="preserve">ada lista hay </w:t>
      </w:r>
      <w:r>
        <w:rPr>
          <w:lang w:val="es-ES_tradnl"/>
        </w:rPr>
        <w:t>botones que permiten seleccionar/deseleccionar todos los elementos.</w:t>
      </w:r>
    </w:p>
    <w:p w:rsidR="0074580C" w:rsidRDefault="0074580C" w:rsidP="0074580C">
      <w:pPr>
        <w:rPr>
          <w:lang w:val="es-ES_tradnl"/>
        </w:rPr>
      </w:pPr>
      <w:r>
        <w:rPr>
          <w:lang w:val="es-ES_tradnl"/>
        </w:rPr>
        <w:t>Después hay que seleccionar la forma en la que queremos visualizar los datos. Existen 3 opciones:</w:t>
      </w:r>
    </w:p>
    <w:p w:rsidR="0074580C" w:rsidRDefault="0074580C" w:rsidP="0074580C">
      <w:pPr>
        <w:numPr>
          <w:ilvl w:val="0"/>
          <w:numId w:val="4"/>
        </w:numPr>
        <w:rPr>
          <w:lang w:val="es-ES_tradnl"/>
        </w:rPr>
      </w:pPr>
      <w:r w:rsidRPr="006E1283">
        <w:rPr>
          <w:b/>
          <w:lang w:val="es-ES_tradnl"/>
        </w:rPr>
        <w:t>Tabla única</w:t>
      </w:r>
      <w:r w:rsidR="00B37D69">
        <w:rPr>
          <w:lang w:val="es-ES_tradnl"/>
        </w:rPr>
        <w:t xml:space="preserve">: todos los datos se muestran en una única tabla </w:t>
      </w:r>
    </w:p>
    <w:p w:rsidR="001B7FA1" w:rsidRDefault="001B7FA1" w:rsidP="001B7FA1">
      <w:pPr>
        <w:ind w:left="720"/>
        <w:rPr>
          <w:lang w:val="es-ES_tradnl"/>
        </w:rPr>
      </w:pPr>
      <w:r>
        <w:rPr>
          <w:noProof/>
          <w:lang w:val="es-ES" w:eastAsia="es-ES"/>
        </w:rPr>
        <w:drawing>
          <wp:inline distT="0" distB="0" distL="0" distR="0" wp14:anchorId="54DC0A84" wp14:editId="11B54158">
            <wp:extent cx="5400040" cy="3821821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21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FA1" w:rsidRDefault="001B7FA1" w:rsidP="001B7FA1">
      <w:pPr>
        <w:ind w:left="720"/>
        <w:rPr>
          <w:lang w:val="es-ES_tradnl"/>
        </w:rPr>
      </w:pPr>
      <w:r>
        <w:rPr>
          <w:lang w:val="es-ES_tradnl"/>
        </w:rPr>
        <w:t xml:space="preserve">El botón “transponer” permite cambiar las columnas en filas y viceversa. Disponible solo en la versión </w:t>
      </w:r>
      <w:proofErr w:type="spellStart"/>
      <w:r>
        <w:rPr>
          <w:lang w:val="es-ES_tradnl"/>
        </w:rPr>
        <w:t>html</w:t>
      </w:r>
      <w:proofErr w:type="spellEnd"/>
      <w:r>
        <w:rPr>
          <w:lang w:val="es-ES_tradnl"/>
        </w:rPr>
        <w:t>.</w:t>
      </w:r>
    </w:p>
    <w:p w:rsidR="001B7FA1" w:rsidRDefault="001B7FA1" w:rsidP="001B7FA1">
      <w:pPr>
        <w:ind w:left="720"/>
        <w:rPr>
          <w:lang w:val="es-ES_tradnl"/>
        </w:rPr>
      </w:pPr>
      <w:r>
        <w:rPr>
          <w:noProof/>
          <w:lang w:val="es-ES" w:eastAsia="es-ES"/>
        </w:rPr>
        <w:drawing>
          <wp:inline distT="0" distB="0" distL="0" distR="0" wp14:anchorId="26F04B06" wp14:editId="0307DBCC">
            <wp:extent cx="5400040" cy="1305712"/>
            <wp:effectExtent l="0" t="0" r="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05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FA1" w:rsidRDefault="001B7FA1">
      <w:pPr>
        <w:spacing w:before="0" w:after="0" w:line="240" w:lineRule="auto"/>
        <w:jc w:val="left"/>
        <w:rPr>
          <w:lang w:val="es-ES_tradnl"/>
        </w:rPr>
      </w:pPr>
      <w:r>
        <w:rPr>
          <w:lang w:val="es-ES_tradnl"/>
        </w:rPr>
        <w:br w:type="page"/>
      </w:r>
    </w:p>
    <w:p w:rsidR="001B7FA1" w:rsidRDefault="001B7FA1" w:rsidP="001B7FA1">
      <w:pPr>
        <w:ind w:left="720"/>
        <w:rPr>
          <w:lang w:val="es-ES_tradnl"/>
        </w:rPr>
      </w:pPr>
    </w:p>
    <w:p w:rsidR="001B7FA1" w:rsidRPr="001B7FA1" w:rsidRDefault="0074580C" w:rsidP="001B7FA1">
      <w:pPr>
        <w:numPr>
          <w:ilvl w:val="0"/>
          <w:numId w:val="4"/>
        </w:numPr>
        <w:rPr>
          <w:lang w:val="es-ES_tradnl"/>
        </w:rPr>
      </w:pPr>
      <w:r w:rsidRPr="006E1283">
        <w:rPr>
          <w:b/>
          <w:lang w:val="es-ES_tradnl"/>
        </w:rPr>
        <w:t>Tablas separadas: años en filas</w:t>
      </w:r>
      <w:r w:rsidR="001B7FA1" w:rsidRPr="001B7FA1">
        <w:rPr>
          <w:lang w:val="es-ES_tradnl"/>
        </w:rPr>
        <w:t>: cada serie s</w:t>
      </w:r>
      <w:r w:rsidR="001B7FA1">
        <w:rPr>
          <w:lang w:val="es-ES_tradnl"/>
        </w:rPr>
        <w:t>e muestra en una tabla separada, donde los años están en filas</w:t>
      </w:r>
    </w:p>
    <w:p w:rsidR="001B7FA1" w:rsidRDefault="001B7FA1" w:rsidP="001B7FA1">
      <w:pPr>
        <w:ind w:left="720"/>
        <w:rPr>
          <w:lang w:val="es-ES_tradnl"/>
        </w:rPr>
      </w:pPr>
      <w:r>
        <w:rPr>
          <w:noProof/>
          <w:lang w:val="es-ES" w:eastAsia="es-ES"/>
        </w:rPr>
        <w:drawing>
          <wp:inline distT="0" distB="0" distL="0" distR="0" wp14:anchorId="26D951F6" wp14:editId="7BEAB1AB">
            <wp:extent cx="5400040" cy="4408383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408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FA1" w:rsidRPr="001B7FA1" w:rsidRDefault="0074580C" w:rsidP="001B7FA1">
      <w:pPr>
        <w:numPr>
          <w:ilvl w:val="0"/>
          <w:numId w:val="4"/>
        </w:numPr>
        <w:rPr>
          <w:lang w:val="es-ES_tradnl"/>
        </w:rPr>
      </w:pPr>
      <w:r w:rsidRPr="006E1283">
        <w:rPr>
          <w:b/>
          <w:lang w:val="es-ES_tradnl"/>
        </w:rPr>
        <w:t>Tablas separadas: años en columnas</w:t>
      </w:r>
      <w:r>
        <w:rPr>
          <w:lang w:val="es-ES_tradnl"/>
        </w:rPr>
        <w:t>.</w:t>
      </w:r>
      <w:r w:rsidR="001B7FA1" w:rsidRPr="001B7FA1">
        <w:rPr>
          <w:lang w:val="es-ES_tradnl"/>
        </w:rPr>
        <w:t xml:space="preserve"> </w:t>
      </w:r>
      <w:r w:rsidR="001B7FA1" w:rsidRPr="001B7FA1">
        <w:rPr>
          <w:lang w:val="es-ES_tradnl"/>
        </w:rPr>
        <w:t>cada serie s</w:t>
      </w:r>
      <w:r w:rsidR="001B7FA1">
        <w:rPr>
          <w:lang w:val="es-ES_tradnl"/>
        </w:rPr>
        <w:t xml:space="preserve">e muestra en una tabla separada, donde los años están en </w:t>
      </w:r>
      <w:r w:rsidR="001B7FA1">
        <w:rPr>
          <w:lang w:val="es-ES_tradnl"/>
        </w:rPr>
        <w:t>columnas</w:t>
      </w:r>
    </w:p>
    <w:p w:rsidR="0074580C" w:rsidRDefault="001B7FA1" w:rsidP="001B7FA1">
      <w:pPr>
        <w:ind w:left="720"/>
        <w:rPr>
          <w:lang w:val="es-ES_tradnl"/>
        </w:rPr>
      </w:pPr>
      <w:r>
        <w:rPr>
          <w:noProof/>
          <w:lang w:val="es-ES" w:eastAsia="es-ES"/>
        </w:rPr>
        <w:drawing>
          <wp:inline distT="0" distB="0" distL="0" distR="0" wp14:anchorId="382C7F39" wp14:editId="6DEF5830">
            <wp:extent cx="5400040" cy="1975982"/>
            <wp:effectExtent l="0" t="0" r="0" b="571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75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580C" w:rsidRDefault="0074580C" w:rsidP="0074580C">
      <w:pPr>
        <w:rPr>
          <w:lang w:val="es-ES_tradnl"/>
        </w:rPr>
      </w:pPr>
      <w:r>
        <w:rPr>
          <w:lang w:val="es-ES_tradnl"/>
        </w:rPr>
        <w:t>Por último</w:t>
      </w:r>
      <w:r w:rsidR="00C90343">
        <w:rPr>
          <w:lang w:val="es-ES_tradnl"/>
        </w:rPr>
        <w:t>, para poder visualizar los datos seleccionados,</w:t>
      </w:r>
      <w:r>
        <w:rPr>
          <w:lang w:val="es-ES_tradnl"/>
        </w:rPr>
        <w:t xml:space="preserve"> hay que hacer clic en uno de los botones</w:t>
      </w:r>
      <w:r w:rsidR="00C90343">
        <w:rPr>
          <w:lang w:val="es-ES_tradnl"/>
        </w:rPr>
        <w:t xml:space="preserve"> situados en la parte de debajo de la aplicación:</w:t>
      </w:r>
    </w:p>
    <w:p w:rsidR="00C90343" w:rsidRDefault="001D6A9B" w:rsidP="00C90343">
      <w:pPr>
        <w:jc w:val="center"/>
        <w:rPr>
          <w:lang w:val="es-ES_tradnl"/>
        </w:rPr>
      </w:pPr>
      <w:r>
        <w:rPr>
          <w:noProof/>
          <w:lang w:val="es-ES" w:eastAsia="es-ES"/>
        </w:rPr>
        <w:drawing>
          <wp:inline distT="0" distB="0" distL="0" distR="0">
            <wp:extent cx="3848100" cy="676275"/>
            <wp:effectExtent l="0" t="0" r="0" b="9525"/>
            <wp:docPr id="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FA1" w:rsidRPr="00EE4796" w:rsidRDefault="001B7FA1" w:rsidP="001B7FA1">
      <w:pPr>
        <w:rPr>
          <w:lang w:val="es-ES_tradnl"/>
        </w:rPr>
      </w:pPr>
      <w:r>
        <w:rPr>
          <w:lang w:val="es-ES_tradnl"/>
        </w:rPr>
        <w:t xml:space="preserve">El primero de los botones muestra los datos en formato </w:t>
      </w:r>
      <w:proofErr w:type="spellStart"/>
      <w:r>
        <w:rPr>
          <w:lang w:val="es-ES_tradnl"/>
        </w:rPr>
        <w:t>html</w:t>
      </w:r>
      <w:proofErr w:type="spellEnd"/>
      <w:r>
        <w:rPr>
          <w:lang w:val="es-ES_tradnl"/>
        </w:rPr>
        <w:t xml:space="preserve"> visto arriba. El segundo permite descargar los datos en formato </w:t>
      </w:r>
      <w:proofErr w:type="spellStart"/>
      <w:r>
        <w:rPr>
          <w:lang w:val="es-ES_tradnl"/>
        </w:rPr>
        <w:t>excel</w:t>
      </w:r>
      <w:proofErr w:type="spellEnd"/>
      <w:r>
        <w:rPr>
          <w:lang w:val="es-ES_tradnl"/>
        </w:rPr>
        <w:t>.</w:t>
      </w:r>
    </w:p>
    <w:p w:rsidR="00D051A5" w:rsidRDefault="00EE4796" w:rsidP="006A6BED">
      <w:pPr>
        <w:pStyle w:val="Ttulo3"/>
        <w:rPr>
          <w:lang w:val="es-ES_tradnl"/>
        </w:rPr>
      </w:pPr>
      <w:r w:rsidRPr="00EE4796">
        <w:rPr>
          <w:lang w:val="es-ES_tradnl"/>
        </w:rPr>
        <w:t>Descargas por ámbito territorial</w:t>
      </w:r>
    </w:p>
    <w:p w:rsidR="00D051A5" w:rsidRPr="00EE4796" w:rsidRDefault="001D6A9B" w:rsidP="001D6A9B">
      <w:pPr>
        <w:rPr>
          <w:lang w:val="es-ES_tradnl"/>
        </w:rPr>
      </w:pPr>
      <w:r>
        <w:rPr>
          <w:lang w:val="es-ES_tradnl"/>
        </w:rPr>
        <w:t xml:space="preserve">Esta opción permite descargar todos los datos correspondientes a un ámbito territorial en formato </w:t>
      </w:r>
      <w:proofErr w:type="spellStart"/>
      <w:r>
        <w:rPr>
          <w:lang w:val="es-ES_tradnl"/>
        </w:rPr>
        <w:t>excel</w:t>
      </w:r>
      <w:proofErr w:type="spellEnd"/>
      <w:r>
        <w:rPr>
          <w:lang w:val="es-ES_tradnl"/>
        </w:rPr>
        <w:t xml:space="preserve">, divididos por cada grupo de series. Para ello, primero </w:t>
      </w:r>
      <w:r>
        <w:rPr>
          <w:lang w:val="es-ES_tradnl"/>
        </w:rPr>
        <w:t>hay que acceder en el menú superior la opción “Acciones disponibles”</w:t>
      </w:r>
      <w:r w:rsidRPr="00DA6047">
        <w:rPr>
          <w:lang w:val="es-ES_tradnl"/>
        </w:rPr>
        <w:sym w:font="Wingdings" w:char="F0E0"/>
      </w:r>
      <w:r>
        <w:rPr>
          <w:lang w:val="es-ES_tradnl"/>
        </w:rPr>
        <w:t xml:space="preserve">“Descargar </w:t>
      </w:r>
      <w:r>
        <w:rPr>
          <w:lang w:val="es-ES_tradnl"/>
        </w:rPr>
        <w:t>según ámbito territorial</w:t>
      </w:r>
      <w:r>
        <w:rPr>
          <w:lang w:val="es-ES_tradnl"/>
        </w:rPr>
        <w:t>”</w:t>
      </w:r>
      <w:r w:rsidRPr="00EE4796">
        <w:rPr>
          <w:lang w:val="es-ES_tradnl"/>
        </w:rPr>
        <w:t>.</w:t>
      </w:r>
      <w:r>
        <w:rPr>
          <w:lang w:val="es-ES_tradnl"/>
        </w:rPr>
        <w:t xml:space="preserve"> Después hay que seleccionar el ámbito territorial para el cual se quieren los datos, y p</w:t>
      </w:r>
      <w:r w:rsidR="00EE4796">
        <w:rPr>
          <w:lang w:val="es-ES_tradnl"/>
        </w:rPr>
        <w:t>or último hay que hacer clic en el grupo de  series que se deseen descargar</w:t>
      </w:r>
      <w:r w:rsidR="001F2046">
        <w:rPr>
          <w:lang w:val="es-ES_tradnl"/>
        </w:rPr>
        <w:t xml:space="preserve"> en formato Excel</w:t>
      </w:r>
      <w:r w:rsidR="00D051A5" w:rsidRPr="00EE4796">
        <w:rPr>
          <w:lang w:val="es-ES_tradnl"/>
        </w:rPr>
        <w:t>.</w:t>
      </w:r>
    </w:p>
    <w:p w:rsidR="00D051A5" w:rsidRPr="00FC1947" w:rsidRDefault="001D6A9B" w:rsidP="001D6A9B">
      <w:r>
        <w:rPr>
          <w:noProof/>
          <w:lang w:val="es-ES" w:eastAsia="es-ES"/>
        </w:rPr>
        <w:drawing>
          <wp:inline distT="0" distB="0" distL="0" distR="0">
            <wp:extent cx="5619750" cy="2133600"/>
            <wp:effectExtent l="19050" t="19050" r="19050" b="19050"/>
            <wp:docPr id="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1336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D051A5" w:rsidRPr="00FC19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C506F"/>
    <w:multiLevelType w:val="hybridMultilevel"/>
    <w:tmpl w:val="CD84E5F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746FA9"/>
    <w:multiLevelType w:val="hybridMultilevel"/>
    <w:tmpl w:val="D15A29B6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1B6D65"/>
    <w:multiLevelType w:val="hybridMultilevel"/>
    <w:tmpl w:val="0E9E3DEA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E53059"/>
    <w:multiLevelType w:val="hybridMultilevel"/>
    <w:tmpl w:val="0A20E01A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947"/>
    <w:rsid w:val="001B7FA1"/>
    <w:rsid w:val="001D6A9B"/>
    <w:rsid w:val="001F2046"/>
    <w:rsid w:val="002E0F08"/>
    <w:rsid w:val="00620984"/>
    <w:rsid w:val="006A4A71"/>
    <w:rsid w:val="006A6BED"/>
    <w:rsid w:val="006E1283"/>
    <w:rsid w:val="0074580C"/>
    <w:rsid w:val="00753AEC"/>
    <w:rsid w:val="00863901"/>
    <w:rsid w:val="008D4360"/>
    <w:rsid w:val="00B37D69"/>
    <w:rsid w:val="00B97E48"/>
    <w:rsid w:val="00C90343"/>
    <w:rsid w:val="00D051A5"/>
    <w:rsid w:val="00D1417D"/>
    <w:rsid w:val="00DA6047"/>
    <w:rsid w:val="00E01390"/>
    <w:rsid w:val="00EE4796"/>
    <w:rsid w:val="00F43792"/>
    <w:rsid w:val="00FB6E4F"/>
    <w:rsid w:val="00FC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7E48"/>
    <w:pPr>
      <w:spacing w:before="120" w:after="120" w:line="360" w:lineRule="auto"/>
      <w:jc w:val="both"/>
    </w:pPr>
    <w:rPr>
      <w:sz w:val="24"/>
      <w:szCs w:val="24"/>
      <w:lang w:val="eu-ES" w:eastAsia="es-ES_tradnl"/>
    </w:rPr>
  </w:style>
  <w:style w:type="paragraph" w:styleId="Ttulo1">
    <w:name w:val="heading 1"/>
    <w:basedOn w:val="Normal"/>
    <w:next w:val="Normal"/>
    <w:qFormat/>
    <w:rsid w:val="006A6B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6A6B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6A6B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deglobo">
    <w:name w:val="Balloon Text"/>
    <w:basedOn w:val="Normal"/>
    <w:link w:val="TextodegloboCar"/>
    <w:rsid w:val="00B37D6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37D69"/>
    <w:rPr>
      <w:rFonts w:ascii="Tahoma" w:hAnsi="Tahoma" w:cs="Tahoma"/>
      <w:sz w:val="16"/>
      <w:szCs w:val="16"/>
      <w:lang w:val="eu-ES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7E48"/>
    <w:pPr>
      <w:spacing w:before="120" w:after="120" w:line="360" w:lineRule="auto"/>
      <w:jc w:val="both"/>
    </w:pPr>
    <w:rPr>
      <w:sz w:val="24"/>
      <w:szCs w:val="24"/>
      <w:lang w:val="eu-ES" w:eastAsia="es-ES_tradnl"/>
    </w:rPr>
  </w:style>
  <w:style w:type="paragraph" w:styleId="Ttulo1">
    <w:name w:val="heading 1"/>
    <w:basedOn w:val="Normal"/>
    <w:next w:val="Normal"/>
    <w:qFormat/>
    <w:rsid w:val="006A6B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6A6B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6A6B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deglobo">
    <w:name w:val="Balloon Text"/>
    <w:basedOn w:val="Normal"/>
    <w:link w:val="TextodegloboCar"/>
    <w:rsid w:val="00B37D6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37D69"/>
    <w:rPr>
      <w:rFonts w:ascii="Tahoma" w:hAnsi="Tahoma" w:cs="Tahoma"/>
      <w:sz w:val="16"/>
      <w:szCs w:val="16"/>
      <w:lang w:val="eu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538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Laguntza</vt:lpstr>
    </vt:vector>
  </TitlesOfParts>
  <Company>EJIE</Company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Laguntza</dc:title>
  <dc:creator>co00610a</dc:creator>
  <cp:lastModifiedBy>A.T. Hacienda - Aizpurua Larrañaga, Iker - LKS</cp:lastModifiedBy>
  <cp:revision>7</cp:revision>
  <dcterms:created xsi:type="dcterms:W3CDTF">2017-11-20T09:06:00Z</dcterms:created>
  <dcterms:modified xsi:type="dcterms:W3CDTF">2017-11-20T09:18:00Z</dcterms:modified>
</cp:coreProperties>
</file>